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Pr="00FD34ED" w:rsidRDefault="00FD34ED">
      <w:pPr>
        <w:rPr>
          <w:rFonts w:ascii="Arial" w:hAnsi="Arial" w:cs="Arial"/>
        </w:rPr>
      </w:pPr>
      <w:r w:rsidRPr="00FD34ED">
        <w:rPr>
          <w:rFonts w:ascii="Arial" w:hAnsi="Arial" w:cs="Arial"/>
        </w:rPr>
        <w:t>Wykaz załączników – uczenie się II etap edukacyjny, zjazd 2</w:t>
      </w:r>
    </w:p>
    <w:p w:rsidR="00FD34ED" w:rsidRDefault="00FD34E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FD34ED">
        <w:rPr>
          <w:rFonts w:ascii="Arial" w:hAnsi="Arial" w:cs="Arial"/>
        </w:rPr>
        <w:t xml:space="preserve">2.1.A – czynniki </w:t>
      </w:r>
      <w:proofErr w:type="spellStart"/>
      <w:r w:rsidRPr="00FD34ED">
        <w:rPr>
          <w:rFonts w:ascii="Arial" w:hAnsi="Arial" w:cs="Arial"/>
        </w:rPr>
        <w:t>Hatti</w:t>
      </w:r>
      <w:proofErr w:type="spellEnd"/>
      <w:r w:rsidRPr="00FD34ED">
        <w:rPr>
          <w:rFonts w:ascii="Arial" w:hAnsi="Arial" w:cs="Arial"/>
        </w:rPr>
        <w:t>, do pocięcia – dla każdego uczestnika</w:t>
      </w:r>
    </w:p>
    <w:p w:rsidR="00FD34ED" w:rsidRDefault="00FD34E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2.1. – specyfika uczeń – dla każdego uczestnika</w:t>
      </w:r>
    </w:p>
    <w:p w:rsidR="00FD34ED" w:rsidRDefault="00FD34E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2.2.  – instrukcja kryterialny poker, prezentacja PP, dla trenera, wersja cyfrowa</w:t>
      </w:r>
    </w:p>
    <w:p w:rsidR="00FD34ED" w:rsidRDefault="00FD34E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2.3. – nauczanie problemowe II etap – dla każdego uczestnika</w:t>
      </w:r>
    </w:p>
    <w:p w:rsidR="00FD34ED" w:rsidRDefault="00FD34E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2.4. – karta planowania doświadczenia II etap - dla każdego uczestnika</w:t>
      </w:r>
    </w:p>
    <w:p w:rsidR="00FD34ED" w:rsidRDefault="00FD34E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2.5. – ewaluacja wewnętrzna eksperymenty - dla każdego uczestnika</w:t>
      </w:r>
    </w:p>
    <w:p w:rsidR="00FD34ED" w:rsidRDefault="00FD34E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2.6. – ewaluacja aktywizujące - dla każdego uczestnika</w:t>
      </w:r>
    </w:p>
    <w:p w:rsidR="00FD34ED" w:rsidRDefault="00FD34E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2.7. – nauczanie eksperymentalne mat. Pomocniczy dla trenera</w:t>
      </w:r>
    </w:p>
    <w:p w:rsidR="00FD34ED" w:rsidRDefault="00FD34E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2.8. – 5 strategii OK. - dla każdego uczestnika</w:t>
      </w:r>
    </w:p>
    <w:p w:rsidR="00FD34ED" w:rsidRDefault="00FD34E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2.9. – przykład harmonogramu wspomaganie - dla każdego uczestnika</w:t>
      </w:r>
    </w:p>
    <w:p w:rsidR="00FD34ED" w:rsidRPr="00FD34ED" w:rsidRDefault="002E098D" w:rsidP="00FD34ED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2.10. – projekt edukacyjny – dla każdego uczestnika</w:t>
      </w:r>
    </w:p>
    <w:sectPr w:rsidR="00FD34ED" w:rsidRPr="00FD34ED" w:rsidSect="00446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60F82"/>
    <w:multiLevelType w:val="hybridMultilevel"/>
    <w:tmpl w:val="8946A2EE"/>
    <w:lvl w:ilvl="0" w:tplc="CBD8B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FD34ED"/>
    <w:rsid w:val="002E098D"/>
    <w:rsid w:val="00446364"/>
    <w:rsid w:val="004E1412"/>
    <w:rsid w:val="00B53F09"/>
    <w:rsid w:val="00FD3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34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2019-02-12T23:07:00Z</dcterms:created>
  <dcterms:modified xsi:type="dcterms:W3CDTF">2019-02-12T23:07:00Z</dcterms:modified>
</cp:coreProperties>
</file>